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CEC37" w14:textId="3C52314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35B0D" w:rsidRPr="00D35B0D">
        <w:rPr>
          <w:rFonts w:ascii="Arial" w:hAnsi="Arial" w:cs="Arial"/>
          <w:b/>
          <w:bCs/>
          <w:sz w:val="24"/>
          <w:szCs w:val="24"/>
        </w:rPr>
        <w:t>R4-201</w:t>
      </w:r>
      <w:r w:rsidR="00143323">
        <w:rPr>
          <w:rFonts w:ascii="Arial" w:hAnsi="Arial" w:cs="Arial"/>
          <w:b/>
          <w:bCs/>
          <w:sz w:val="24"/>
          <w:szCs w:val="24"/>
        </w:rPr>
        <w:t>7844</w:t>
      </w:r>
      <w:bookmarkStart w:id="0" w:name="_GoBack"/>
      <w:bookmarkEnd w:id="0"/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184E0A68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  <w:highlight w:val="yellow"/>
        </w:rPr>
        <w:t>[DRAFT]</w:t>
      </w:r>
      <w:r w:rsidRPr="003E6BC7">
        <w:rPr>
          <w:b w:val="0"/>
          <w:bCs w:val="0"/>
          <w:color w:val="000000" w:themeColor="text1"/>
          <w:kern w:val="0"/>
        </w:rPr>
        <w:t xml:space="preserve"> </w:t>
      </w:r>
      <w:r w:rsidR="0002598D" w:rsidRPr="0002598D">
        <w:rPr>
          <w:b w:val="0"/>
          <w:bCs w:val="0"/>
          <w:color w:val="000000" w:themeColor="text1"/>
          <w:kern w:val="0"/>
        </w:rPr>
        <w:t xml:space="preserve">LS </w:t>
      </w:r>
      <w:r w:rsidR="0002598D">
        <w:rPr>
          <w:b w:val="0"/>
          <w:bCs w:val="0"/>
          <w:color w:val="000000" w:themeColor="text1"/>
          <w:kern w:val="0"/>
        </w:rPr>
        <w:t xml:space="preserve">response </w:t>
      </w:r>
      <w:r w:rsidR="0002598D" w:rsidRPr="0002598D">
        <w:rPr>
          <w:b w:val="0"/>
          <w:bCs w:val="0"/>
          <w:color w:val="000000" w:themeColor="text1"/>
          <w:kern w:val="0"/>
        </w:rPr>
        <w:t>on cell-grouping UE capability for synchronous NR-DC</w:t>
      </w:r>
    </w:p>
    <w:p w14:paraId="004BA9C9" w14:textId="0FF6DBB6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02598D" w:rsidRPr="0002598D">
        <w:rPr>
          <w:b w:val="0"/>
          <w:bCs w:val="0"/>
          <w:color w:val="000000" w:themeColor="text1"/>
          <w:kern w:val="0"/>
        </w:rPr>
        <w:t>R2-2008662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02598D" w:rsidRPr="0002598D">
        <w:rPr>
          <w:b w:val="0"/>
          <w:bCs w:val="0"/>
          <w:color w:val="000000" w:themeColor="text1"/>
          <w:kern w:val="0"/>
        </w:rPr>
        <w:t>LS on cell-grouping UE capability for synchronous NR-DC</w:t>
      </w:r>
      <w:r w:rsidR="0002598D">
        <w:rPr>
          <w:b w:val="0"/>
          <w:bCs w:val="0"/>
          <w:color w:val="000000" w:themeColor="text1"/>
          <w:kern w:val="0"/>
        </w:rPr>
        <w:t xml:space="preserve"> from RAN2</w:t>
      </w:r>
    </w:p>
    <w:p w14:paraId="71BD27D5" w14:textId="18D49637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</w:t>
      </w:r>
      <w:r w:rsidR="0002598D">
        <w:rPr>
          <w:b w:val="0"/>
          <w:bCs w:val="0"/>
          <w:color w:val="000000" w:themeColor="text1"/>
          <w:kern w:val="0"/>
        </w:rPr>
        <w:t>6</w:t>
      </w:r>
    </w:p>
    <w:p w14:paraId="00AE0FD8" w14:textId="48CBB371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>LTE_NR_DC_CA_enh-Core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4072BB1F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 xml:space="preserve">Apple Inc. </w:t>
      </w:r>
      <w:r w:rsidR="003E6BC7" w:rsidRPr="003E6BC7">
        <w:rPr>
          <w:b w:val="0"/>
          <w:color w:val="000000" w:themeColor="text1"/>
          <w:highlight w:val="yellow"/>
        </w:rPr>
        <w:t>[to be RAN4]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</w:p>
    <w:p w14:paraId="7860AD73" w14:textId="5E8C35B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color w:val="000000" w:themeColor="text1"/>
        </w:rPr>
        <w:t>RAN1</w:t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77777777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77777777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0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3E6BC7">
        <w:rPr>
          <w:rFonts w:ascii="Arial" w:hAnsi="Arial" w:cs="Arial"/>
          <w:b/>
          <w:color w:val="000000" w:themeColor="text1"/>
        </w:rPr>
        <w:t xml:space="preserve"> 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2E3E236F" w14:textId="1AC0D45C" w:rsidR="00ED2E3E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</w:t>
      </w:r>
      <w:r w:rsidR="00ED2E3E" w:rsidRPr="00ED2E3E">
        <w:rPr>
          <w:rFonts w:ascii="Arial" w:hAnsi="Arial" w:cs="Arial"/>
          <w:color w:val="000000" w:themeColor="text1"/>
        </w:rPr>
        <w:t>agreement on the release-16 UE capabilities for NR-DC</w:t>
      </w:r>
      <w:r w:rsidR="00ED2E3E">
        <w:rPr>
          <w:rFonts w:ascii="Arial" w:hAnsi="Arial" w:cs="Arial"/>
          <w:color w:val="000000" w:themeColor="text1"/>
        </w:rPr>
        <w:t xml:space="preserve"> and for the request for </w:t>
      </w:r>
      <w:r w:rsidR="00A5361D">
        <w:rPr>
          <w:rFonts w:ascii="Arial" w:hAnsi="Arial" w:cs="Arial"/>
          <w:color w:val="000000" w:themeColor="text1"/>
        </w:rPr>
        <w:t xml:space="preserve">a </w:t>
      </w:r>
      <w:r w:rsidR="00ED2E3E">
        <w:rPr>
          <w:rFonts w:ascii="Arial" w:hAnsi="Arial" w:cs="Arial"/>
          <w:color w:val="000000" w:themeColor="text1"/>
        </w:rPr>
        <w:t xml:space="preserve">view </w:t>
      </w:r>
      <w:r w:rsidR="00A5361D" w:rsidRPr="00A5361D">
        <w:rPr>
          <w:rFonts w:ascii="Arial" w:hAnsi="Arial" w:cs="Arial"/>
          <w:color w:val="000000" w:themeColor="text1"/>
        </w:rPr>
        <w:t>on the need of cell grouping UE capability signaling, including the need of differentiation between MCG and SCG</w:t>
      </w:r>
      <w:r w:rsidR="00A5361D">
        <w:rPr>
          <w:rFonts w:ascii="Arial" w:hAnsi="Arial" w:cs="Arial"/>
          <w:color w:val="000000" w:themeColor="text1"/>
        </w:rPr>
        <w:t>.</w:t>
      </w:r>
    </w:p>
    <w:p w14:paraId="729F9A85" w14:textId="6FF7DCFF" w:rsidR="00A5361D" w:rsidRDefault="00A5361D">
      <w:pPr>
        <w:rPr>
          <w:rFonts w:ascii="Arial" w:hAnsi="Arial" w:cs="Arial"/>
          <w:color w:val="000000" w:themeColor="text1"/>
        </w:rPr>
      </w:pPr>
    </w:p>
    <w:p w14:paraId="12E60612" w14:textId="0376ADDF" w:rsidR="00A5361D" w:rsidRDefault="0013478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has discussed this issue and determined the following:</w:t>
      </w:r>
    </w:p>
    <w:p w14:paraId="7AF8F1A4" w14:textId="663988EB" w:rsidR="00134785" w:rsidRDefault="00134785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Inter-band NR-DC configurations</w:t>
      </w:r>
      <w:r w:rsidR="003D4464">
        <w:rPr>
          <w:rFonts w:ascii="Arial" w:hAnsi="Arial" w:cs="Arial"/>
          <w:color w:val="000000" w:themeColor="text1"/>
        </w:rPr>
        <w:t xml:space="preserve"> with three or more bands, including at least one FR2 band, are already defined in the Rel-16 version of TS38.101-3, with more configurations requested as part of the Rel-17 work item “</w:t>
      </w:r>
      <w:r w:rsidR="003D4464"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 w:rsidR="003D4464">
        <w:rPr>
          <w:rFonts w:ascii="Arial" w:hAnsi="Arial" w:cs="Arial"/>
          <w:color w:val="000000" w:themeColor="text1"/>
        </w:rPr>
        <w:t>” [</w:t>
      </w:r>
      <w:r w:rsidR="003D4464" w:rsidRPr="003D4464">
        <w:rPr>
          <w:rFonts w:ascii="Arial" w:hAnsi="Arial" w:cs="Arial"/>
          <w:color w:val="000000" w:themeColor="text1"/>
        </w:rPr>
        <w:t>RP-201541</w:t>
      </w:r>
      <w:r w:rsidR="003D4464">
        <w:rPr>
          <w:rFonts w:ascii="Arial" w:hAnsi="Arial" w:cs="Arial"/>
          <w:color w:val="000000" w:themeColor="text1"/>
        </w:rPr>
        <w:t>]</w:t>
      </w:r>
    </w:p>
    <w:p w14:paraId="3845F85E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FR2 MCG and thus there might be need to indicate whether FR2 MCG is supported in NR-DC if RAN4 has such potential band combinations.</w:t>
      </w:r>
    </w:p>
    <w:p w14:paraId="48468DE4" w14:textId="6F560091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FR1-FR2 CA and thus there might be need to differentiate whether it is a FR1-FR2 CA or a FR1-FR2 DC</w:t>
      </w:r>
    </w:p>
    <w:p w14:paraId="4FE2833F" w14:textId="36FABF9C" w:rsidR="003D4464" w:rsidRDefault="003D4464" w:rsidP="003D4464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Configurations for inter-band NR-DC with three or more bands, where all bands are within FR1, are also requested as part of the Rel-17 work item “</w:t>
      </w:r>
      <w:r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>
        <w:rPr>
          <w:rFonts w:ascii="Arial" w:hAnsi="Arial" w:cs="Arial"/>
          <w:color w:val="000000" w:themeColor="text1"/>
        </w:rPr>
        <w:t>” [</w:t>
      </w:r>
      <w:r w:rsidRPr="003D4464">
        <w:rPr>
          <w:rFonts w:ascii="Arial" w:hAnsi="Arial" w:cs="Arial"/>
          <w:color w:val="000000" w:themeColor="text1"/>
        </w:rPr>
        <w:t>RP-201541</w:t>
      </w:r>
      <w:r>
        <w:rPr>
          <w:rFonts w:ascii="Arial" w:hAnsi="Arial" w:cs="Arial"/>
          <w:color w:val="000000" w:themeColor="text1"/>
        </w:rPr>
        <w:t>]</w:t>
      </w:r>
    </w:p>
    <w:p w14:paraId="7268B7D9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inter-CG power sharing for a given frequency range.</w:t>
      </w:r>
    </w:p>
    <w:p w14:paraId="4C9596B1" w14:textId="3661FFF6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PUCCH group across serving cells with different numerologies</w:t>
      </w:r>
    </w:p>
    <w:p w14:paraId="47D2DADD" w14:textId="42C9C75B" w:rsidR="003D4464" w:rsidRDefault="003C77A0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considers </w:t>
      </w:r>
      <w:r w:rsidRPr="003C77A0">
        <w:rPr>
          <w:rFonts w:ascii="Arial" w:hAnsi="Arial" w:cs="Arial"/>
          <w:color w:val="000000" w:themeColor="text1"/>
        </w:rPr>
        <w:t>cell grouping UE capability signaling for synchronous NR-DC</w:t>
      </w:r>
      <w:r>
        <w:rPr>
          <w:rFonts w:ascii="Arial" w:hAnsi="Arial" w:cs="Arial"/>
          <w:color w:val="000000" w:themeColor="text1"/>
        </w:rPr>
        <w:t xml:space="preserve"> beneficial in these scenarios</w:t>
      </w:r>
    </w:p>
    <w:p w14:paraId="35964A5A" w14:textId="77777777" w:rsidR="00AA7AC7" w:rsidRDefault="00AA7AC7" w:rsidP="00AA7AC7">
      <w:pPr>
        <w:rPr>
          <w:rFonts w:ascii="Arial" w:hAnsi="Arial" w:cs="Arial"/>
          <w:color w:val="000000" w:themeColor="text1"/>
        </w:rPr>
      </w:pPr>
    </w:p>
    <w:p w14:paraId="69C09E34" w14:textId="20BB68E3" w:rsidR="00A838CF" w:rsidRPr="00A838CF" w:rsidRDefault="00AA7AC7" w:rsidP="00A838CF">
      <w:pPr>
        <w:rPr>
          <w:rFonts w:ascii="Arial" w:hAnsi="Arial" w:cs="Arial"/>
          <w:color w:val="000000" w:themeColor="text1"/>
          <w:lang w:val="en-US"/>
        </w:rPr>
      </w:pPr>
      <w:r w:rsidRPr="00AA7AC7">
        <w:rPr>
          <w:rFonts w:ascii="Arial" w:hAnsi="Arial" w:cs="Arial"/>
          <w:color w:val="000000" w:themeColor="text1"/>
        </w:rPr>
        <w:t>RAN4 considers that it is beneficial to define cell-grouping UE capability also for synchronous NR-DC</w:t>
      </w:r>
      <w:r>
        <w:rPr>
          <w:rFonts w:ascii="Arial" w:hAnsi="Arial" w:cs="Arial"/>
          <w:color w:val="000000" w:themeColor="text1"/>
        </w:rPr>
        <w:t xml:space="preserve"> so as</w:t>
      </w:r>
      <w:r w:rsidRPr="00AA7AC7">
        <w:rPr>
          <w:rFonts w:ascii="Arial" w:hAnsi="Arial" w:cs="Arial"/>
          <w:color w:val="000000" w:themeColor="text1"/>
        </w:rPr>
        <w:t xml:space="preserve"> not to limit support of deployment options.</w:t>
      </w:r>
      <w:r>
        <w:rPr>
          <w:rFonts w:ascii="Arial" w:hAnsi="Arial" w:cs="Arial"/>
          <w:color w:val="000000" w:themeColor="text1"/>
        </w:rPr>
        <w:t xml:space="preserve"> </w:t>
      </w:r>
      <w:r w:rsidRPr="00AA7AC7">
        <w:rPr>
          <w:rFonts w:ascii="Arial" w:hAnsi="Arial" w:cs="Arial"/>
          <w:color w:val="000000" w:themeColor="text1"/>
        </w:rPr>
        <w:t>RAN4 further considers that differentiation between MCG and SCG is also beneficial in the related signaling design</w:t>
      </w:r>
      <w:r>
        <w:rPr>
          <w:rFonts w:ascii="Arial" w:hAnsi="Arial" w:cs="Arial"/>
          <w:color w:val="000000" w:themeColor="text1"/>
        </w:rPr>
        <w:t>.</w:t>
      </w:r>
      <w:r w:rsidR="00A25878">
        <w:rPr>
          <w:rFonts w:ascii="Arial" w:hAnsi="Arial" w:cs="Arial"/>
          <w:color w:val="000000" w:themeColor="text1"/>
        </w:rPr>
        <w:t xml:space="preserve">  RAN4 assumes that RAN2 will avoid unnecessary signaling where possible in the related </w:t>
      </w:r>
      <w:r w:rsidR="00D26283">
        <w:rPr>
          <w:rFonts w:ascii="Arial" w:hAnsi="Arial" w:cs="Arial"/>
          <w:color w:val="000000" w:themeColor="text1"/>
        </w:rPr>
        <w:t>design.</w:t>
      </w:r>
      <w:r w:rsidR="00A838CF">
        <w:rPr>
          <w:rFonts w:ascii="Arial" w:hAnsi="Arial" w:cs="Arial"/>
          <w:color w:val="000000" w:themeColor="text1"/>
        </w:rPr>
        <w:t xml:space="preserve">  </w:t>
      </w:r>
      <w:r w:rsidR="00A838CF" w:rsidRPr="00A838CF">
        <w:rPr>
          <w:rFonts w:ascii="Arial" w:hAnsi="Arial" w:cs="Arial"/>
          <w:color w:val="000000" w:themeColor="text1"/>
          <w:lang w:val="en-US"/>
        </w:rPr>
        <w:t>The same cell grouping signaling structure can apply for both synchronous and asynchronous NR-DC for a given band combination</w:t>
      </w:r>
      <w:r w:rsidR="00A838CF">
        <w:rPr>
          <w:rFonts w:ascii="Arial" w:hAnsi="Arial" w:cs="Arial"/>
          <w:color w:val="000000" w:themeColor="text1"/>
          <w:lang w:val="en-US"/>
        </w:rPr>
        <w:t>.</w:t>
      </w:r>
    </w:p>
    <w:p w14:paraId="6A0DB5D7" w14:textId="21BBA8EF" w:rsidR="003C77A0" w:rsidRPr="00A838CF" w:rsidRDefault="003C77A0" w:rsidP="00AA7AC7">
      <w:pPr>
        <w:rPr>
          <w:rFonts w:ascii="Arial" w:hAnsi="Arial" w:cs="Arial"/>
          <w:color w:val="000000" w:themeColor="text1"/>
          <w:lang w:val="en-US"/>
        </w:rPr>
      </w:pP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E0A3C" w14:textId="77777777" w:rsidR="00F31B04" w:rsidRDefault="00F31B04">
      <w:r>
        <w:separator/>
      </w:r>
    </w:p>
  </w:endnote>
  <w:endnote w:type="continuationSeparator" w:id="0">
    <w:p w14:paraId="62DA7416" w14:textId="77777777" w:rsidR="00F31B04" w:rsidRDefault="00F3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DD413" w14:textId="77777777" w:rsidR="00F31B04" w:rsidRDefault="00F31B04">
      <w:r>
        <w:separator/>
      </w:r>
    </w:p>
  </w:footnote>
  <w:footnote w:type="continuationSeparator" w:id="0">
    <w:p w14:paraId="32C71F12" w14:textId="77777777" w:rsidR="00F31B04" w:rsidRDefault="00F3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2248E"/>
    <w:rsid w:val="0002598D"/>
    <w:rsid w:val="000F4E43"/>
    <w:rsid w:val="00134785"/>
    <w:rsid w:val="00143323"/>
    <w:rsid w:val="00172E5D"/>
    <w:rsid w:val="00223A06"/>
    <w:rsid w:val="00313B68"/>
    <w:rsid w:val="003370EF"/>
    <w:rsid w:val="003563C2"/>
    <w:rsid w:val="003C77A0"/>
    <w:rsid w:val="003D4464"/>
    <w:rsid w:val="003E6BC7"/>
    <w:rsid w:val="00463675"/>
    <w:rsid w:val="00584B08"/>
    <w:rsid w:val="005B1E1D"/>
    <w:rsid w:val="005B222B"/>
    <w:rsid w:val="00627B59"/>
    <w:rsid w:val="00726FC3"/>
    <w:rsid w:val="007478C3"/>
    <w:rsid w:val="00793F1C"/>
    <w:rsid w:val="007F4C35"/>
    <w:rsid w:val="00864AF6"/>
    <w:rsid w:val="008D2375"/>
    <w:rsid w:val="00923E7C"/>
    <w:rsid w:val="009B497A"/>
    <w:rsid w:val="00A25878"/>
    <w:rsid w:val="00A5361D"/>
    <w:rsid w:val="00A838CF"/>
    <w:rsid w:val="00A92C0B"/>
    <w:rsid w:val="00AA7AC7"/>
    <w:rsid w:val="00AE0EA3"/>
    <w:rsid w:val="00B955B9"/>
    <w:rsid w:val="00BD1D9F"/>
    <w:rsid w:val="00C32060"/>
    <w:rsid w:val="00D15451"/>
    <w:rsid w:val="00D26283"/>
    <w:rsid w:val="00D35B0D"/>
    <w:rsid w:val="00E2125E"/>
    <w:rsid w:val="00E97343"/>
    <w:rsid w:val="00ED2E3E"/>
    <w:rsid w:val="00F31B04"/>
    <w:rsid w:val="00F45A27"/>
    <w:rsid w:val="00F579AF"/>
    <w:rsid w:val="00F75841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A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1B5BE9-4A54-477B-9C10-B266D43A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1D0711-BD71-465C-A3DD-C3CA945DA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3184B-C5BA-4B5E-B8ED-2A41A10F6C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13</cp:revision>
  <cp:lastPrinted>2002-04-23T16:10:00Z</cp:lastPrinted>
  <dcterms:created xsi:type="dcterms:W3CDTF">2020-11-09T09:13:00Z</dcterms:created>
  <dcterms:modified xsi:type="dcterms:W3CDTF">2020-11-13T15:36:00Z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